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7A" w:rsidRPr="000A6048" w:rsidRDefault="000600AE" w:rsidP="000A6048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A6048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58" w:rsidRPr="00FC1758" w:rsidRDefault="00FC1758" w:rsidP="00FC1758">
      <w:pPr>
        <w:pStyle w:val="1"/>
        <w:spacing w:before="0" w:after="0"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C1758">
        <w:rPr>
          <w:rFonts w:ascii="Times New Roman" w:hAnsi="Times New Roman" w:cs="Times New Roman"/>
          <w:color w:val="auto"/>
          <w:sz w:val="28"/>
          <w:szCs w:val="28"/>
        </w:rPr>
        <w:t>Кадастровая палата рассказала волгоградцам о последствиях нецелевого использования земель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758" w:rsidRPr="00FC1758" w:rsidRDefault="00FC1758" w:rsidP="00FC1758">
      <w:pPr>
        <w:pStyle w:val="articledecorationfirst"/>
        <w:spacing w:before="0" w:beforeAutospacing="0" w:after="0" w:afterAutospacing="0" w:line="300" w:lineRule="auto"/>
        <w:ind w:firstLine="709"/>
        <w:jc w:val="both"/>
        <w:rPr>
          <w:b/>
          <w:sz w:val="28"/>
          <w:szCs w:val="28"/>
        </w:rPr>
      </w:pPr>
      <w:r w:rsidRPr="00FC1758">
        <w:rPr>
          <w:b/>
          <w:sz w:val="28"/>
          <w:szCs w:val="28"/>
        </w:rPr>
        <w:t>Эксперты Кадастровой палаты помогают разобраться волгоградцам, что такое целевое использование земельного участка и какие меры могут быть приняты в отношении лица, нарушившего правила целевого использования земельного участка.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>Целевое назначение земельного участка – это разделение земельных участков по </w:t>
      </w:r>
      <w:hyperlink r:id="rId10" w:tgtFrame="_blank" w:tooltip="http://www.consultant.ru/document/cons_doc_LAW_33773/368cb949273de5fecbcf2586fbf84ef05bd1a781/" w:history="1">
        <w:r w:rsidRPr="00FC1758">
          <w:rPr>
            <w:rStyle w:val="a6"/>
            <w:color w:val="1D528F"/>
            <w:sz w:val="28"/>
            <w:szCs w:val="28"/>
          </w:rPr>
          <w:t>категориям</w:t>
        </w:r>
      </w:hyperlink>
      <w:r w:rsidRPr="00FC1758">
        <w:rPr>
          <w:sz w:val="28"/>
          <w:szCs w:val="28"/>
        </w:rPr>
        <w:t> (например, земли сельскохозяйственного назначения, земли населенных пунктов и др.) и видам разрешенного использования (для ведения сельского хозяйства, для ведения личного подсобного хозяйства, для размещения жилых помещений и др.). Категория земли зависит от цели ее использования и устанавливается законодательством. Согласно Земельному кодексу РФ, собственник земельного участка может выбрать самостоятельно один или несколько видов разрешенного </w:t>
      </w:r>
      <w:hyperlink r:id="rId11" w:tgtFrame="_blank" w:tooltip="http://www.consultant.ru/document/cons_doc_LAW_33773/368cb949273de5fecbcf2586fbf84ef05bd1a781/" w:history="1">
        <w:r w:rsidRPr="00FC1758">
          <w:rPr>
            <w:rStyle w:val="a6"/>
            <w:color w:val="1D528F"/>
            <w:sz w:val="28"/>
            <w:szCs w:val="28"/>
          </w:rPr>
          <w:t>использования</w:t>
        </w:r>
      </w:hyperlink>
      <w:r w:rsidRPr="00FC1758">
        <w:rPr>
          <w:sz w:val="28"/>
          <w:szCs w:val="28"/>
        </w:rPr>
        <w:t> из числа предусмотренных зонированием территорий.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>Виды разрешенного использования не привязаны к конкретным категориям земель, поэтому могут встречаться в одной и той же категории. Например, земли населенных пунктов могут иметь вид разрешенного использования «для индивидуального жилищного строительства».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>Если собственник использует свой земельный участок не по назначению, это является правонарушением. Нарушителями могут быть как граждане, так и юридические лица.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>Примером нецелевого использования земельного участка может быть ситуация, когда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 xml:space="preserve">Факты нецелевого использования земельных участков выявляются в ходе проверок должностными лицами Управления Росреестра по Волгоградской области, а также при рассмотрении обращений заинтересованных лиц. 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lastRenderedPageBreak/>
        <w:t>При выявлении нарушений владельцу земельного участка дается полгода на их устранение. Через полгода проводится повторная проверка. Если в ходе повторной проверки нарушения не устранены, то владельцу земельного участка грозит взыскание в виде </w:t>
      </w:r>
      <w:hyperlink r:id="rId12" w:tgtFrame="_blank" w:tooltip="http://www.consultant.ru/document/cons_doc_LAW_34661/d4131daeffceff28e2dda2eba7105f88abc9e7e9/" w:history="1">
        <w:r w:rsidRPr="00FC1758">
          <w:rPr>
            <w:rStyle w:val="a6"/>
            <w:color w:val="1D528F"/>
            <w:sz w:val="28"/>
            <w:szCs w:val="28"/>
          </w:rPr>
          <w:t>штрафа</w:t>
        </w:r>
      </w:hyperlink>
      <w:r w:rsidRPr="00FC1758">
        <w:rPr>
          <w:sz w:val="28"/>
          <w:szCs w:val="28"/>
        </w:rPr>
        <w:t>, а в более серьезных случаях - прекращение права постоянного бессрочного пользования и даже </w:t>
      </w:r>
      <w:hyperlink r:id="rId13" w:tgtFrame="_blank" w:tooltip="http://www.consultant.ru/document/cons_doc_LAW_37816/2b2c4472c2ae9d05ef211d956c6810af49989f79/" w:history="1">
        <w:r w:rsidRPr="00FC1758">
          <w:rPr>
            <w:rStyle w:val="a6"/>
            <w:color w:val="1D528F"/>
            <w:sz w:val="28"/>
            <w:szCs w:val="28"/>
          </w:rPr>
          <w:t>изъятие земельного участка</w:t>
        </w:r>
      </w:hyperlink>
      <w:r w:rsidRPr="00FC1758">
        <w:rPr>
          <w:sz w:val="28"/>
          <w:szCs w:val="28"/>
        </w:rPr>
        <w:t>.</w:t>
      </w:r>
    </w:p>
    <w:p w:rsidR="00FC1758" w:rsidRPr="00FC1758" w:rsidRDefault="00FC1758" w:rsidP="00FC1758">
      <w:pPr>
        <w:pStyle w:val="a5"/>
        <w:spacing w:before="0" w:beforeAutospacing="0" w:after="0" w:afterAutospacing="0" w:line="300" w:lineRule="auto"/>
        <w:ind w:firstLine="709"/>
        <w:jc w:val="both"/>
        <w:rPr>
          <w:sz w:val="28"/>
          <w:szCs w:val="28"/>
        </w:rPr>
      </w:pPr>
      <w:r w:rsidRPr="00FC1758">
        <w:rPr>
          <w:sz w:val="28"/>
          <w:szCs w:val="28"/>
        </w:rPr>
        <w:t>Помимо ненадлежащего использования основанием для принудительного изъятия земельного участка, предназначенного для ведения сельского хозяйства либо жилищного или иного строительства, может также являться неиспользование земельного участка для заявленной цели </w:t>
      </w:r>
      <w:hyperlink r:id="rId14" w:tgtFrame="_blank" w:tooltip="http://www.consultant.ru/document/cons_doc_LAW_5142/f4bf6ab2a5e056db1deed5ea565335279b6c3be1/" w:history="1">
        <w:r w:rsidRPr="00FC1758">
          <w:rPr>
            <w:rStyle w:val="a6"/>
            <w:color w:val="1D528F"/>
            <w:sz w:val="28"/>
            <w:szCs w:val="28"/>
          </w:rPr>
          <w:t>в течение трех лет</w:t>
        </w:r>
      </w:hyperlink>
      <w:r w:rsidRPr="00FC1758">
        <w:rPr>
          <w:sz w:val="28"/>
          <w:szCs w:val="28"/>
        </w:rPr>
        <w:t>.</w:t>
      </w:r>
    </w:p>
    <w:p w:rsidR="00FC1758" w:rsidRDefault="00FC1758" w:rsidP="00FC17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58">
        <w:rPr>
          <w:rFonts w:ascii="Times New Roman" w:hAnsi="Times New Roman" w:cs="Times New Roman"/>
          <w:sz w:val="28"/>
          <w:szCs w:val="28"/>
        </w:rPr>
        <w:t>В случае если земельный участок находится в аренде, с арендатора, помимо возмещения вреда, причиненного нецелевым использованием, могут быть взысканы иные убытки, например, расходы собственника на снос (демонтаж) незаконно возведенных объектов, а также недополученная прибыль правообладателя земельного участка из-за невозможности его использования.</w:t>
      </w:r>
    </w:p>
    <w:p w:rsidR="00FC1758" w:rsidRPr="00FC1758" w:rsidRDefault="00FC1758" w:rsidP="00FC175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48" w:rsidRDefault="000A6048" w:rsidP="000A6048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0A6048" w:rsidRDefault="00DC4C94" w:rsidP="000A6048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6048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0A60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A6048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0A6048" w:rsidSect="00ED30C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C5" w:rsidRDefault="00ED30C5" w:rsidP="00ED30C5">
      <w:pPr>
        <w:spacing w:after="0" w:line="240" w:lineRule="auto"/>
      </w:pPr>
      <w:r>
        <w:separator/>
      </w:r>
    </w:p>
  </w:endnote>
  <w:end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C5" w:rsidRDefault="00ED30C5" w:rsidP="00ED30C5">
      <w:pPr>
        <w:spacing w:after="0" w:line="240" w:lineRule="auto"/>
      </w:pPr>
      <w:r>
        <w:separator/>
      </w:r>
    </w:p>
  </w:footnote>
  <w:footnote w:type="continuationSeparator" w:id="0">
    <w:p w:rsidR="00ED30C5" w:rsidRDefault="00ED30C5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1260"/>
      <w:docPartObj>
        <w:docPartGallery w:val="Page Numbers (Top of Page)"/>
        <w:docPartUnique/>
      </w:docPartObj>
    </w:sdtPr>
    <w:sdtEndPr/>
    <w:sdtContent>
      <w:p w:rsidR="00ED30C5" w:rsidRDefault="00ED30C5" w:rsidP="00ED3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1033"/>
    <w:multiLevelType w:val="multilevel"/>
    <w:tmpl w:val="6F7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85B6D"/>
    <w:multiLevelType w:val="hybridMultilevel"/>
    <w:tmpl w:val="D5B6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104DF1"/>
    <w:multiLevelType w:val="multilevel"/>
    <w:tmpl w:val="C8E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6"/>
  </w:num>
  <w:num w:numId="4">
    <w:abstractNumId w:val="27"/>
  </w:num>
  <w:num w:numId="5">
    <w:abstractNumId w:val="26"/>
  </w:num>
  <w:num w:numId="6">
    <w:abstractNumId w:val="28"/>
  </w:num>
  <w:num w:numId="7">
    <w:abstractNumId w:val="3"/>
  </w:num>
  <w:num w:numId="8">
    <w:abstractNumId w:val="9"/>
  </w:num>
  <w:num w:numId="9">
    <w:abstractNumId w:val="25"/>
  </w:num>
  <w:num w:numId="10">
    <w:abstractNumId w:val="34"/>
  </w:num>
  <w:num w:numId="11">
    <w:abstractNumId w:val="1"/>
  </w:num>
  <w:num w:numId="12">
    <w:abstractNumId w:val="44"/>
  </w:num>
  <w:num w:numId="13">
    <w:abstractNumId w:val="32"/>
  </w:num>
  <w:num w:numId="14">
    <w:abstractNumId w:val="38"/>
  </w:num>
  <w:num w:numId="15">
    <w:abstractNumId w:val="14"/>
  </w:num>
  <w:num w:numId="16">
    <w:abstractNumId w:val="37"/>
  </w:num>
  <w:num w:numId="17">
    <w:abstractNumId w:val="40"/>
  </w:num>
  <w:num w:numId="18">
    <w:abstractNumId w:val="6"/>
  </w:num>
  <w:num w:numId="19">
    <w:abstractNumId w:val="23"/>
  </w:num>
  <w:num w:numId="20">
    <w:abstractNumId w:val="18"/>
  </w:num>
  <w:num w:numId="21">
    <w:abstractNumId w:val="11"/>
  </w:num>
  <w:num w:numId="22">
    <w:abstractNumId w:val="5"/>
  </w:num>
  <w:num w:numId="23">
    <w:abstractNumId w:val="43"/>
  </w:num>
  <w:num w:numId="24">
    <w:abstractNumId w:val="20"/>
  </w:num>
  <w:num w:numId="25">
    <w:abstractNumId w:val="16"/>
  </w:num>
  <w:num w:numId="26">
    <w:abstractNumId w:val="48"/>
  </w:num>
  <w:num w:numId="27">
    <w:abstractNumId w:val="10"/>
  </w:num>
  <w:num w:numId="28">
    <w:abstractNumId w:val="0"/>
  </w:num>
  <w:num w:numId="29">
    <w:abstractNumId w:val="30"/>
  </w:num>
  <w:num w:numId="30">
    <w:abstractNumId w:val="39"/>
  </w:num>
  <w:num w:numId="31">
    <w:abstractNumId w:val="21"/>
  </w:num>
  <w:num w:numId="32">
    <w:abstractNumId w:val="35"/>
  </w:num>
  <w:num w:numId="33">
    <w:abstractNumId w:val="46"/>
  </w:num>
  <w:num w:numId="34">
    <w:abstractNumId w:val="22"/>
  </w:num>
  <w:num w:numId="35">
    <w:abstractNumId w:val="47"/>
  </w:num>
  <w:num w:numId="36">
    <w:abstractNumId w:val="13"/>
  </w:num>
  <w:num w:numId="37">
    <w:abstractNumId w:val="41"/>
  </w:num>
  <w:num w:numId="38">
    <w:abstractNumId w:val="31"/>
  </w:num>
  <w:num w:numId="39">
    <w:abstractNumId w:val="2"/>
  </w:num>
  <w:num w:numId="40">
    <w:abstractNumId w:val="24"/>
  </w:num>
  <w:num w:numId="41">
    <w:abstractNumId w:val="33"/>
  </w:num>
  <w:num w:numId="42">
    <w:abstractNumId w:val="29"/>
  </w:num>
  <w:num w:numId="43">
    <w:abstractNumId w:val="7"/>
  </w:num>
  <w:num w:numId="44">
    <w:abstractNumId w:val="42"/>
  </w:num>
  <w:num w:numId="45">
    <w:abstractNumId w:val="45"/>
  </w:num>
  <w:num w:numId="46">
    <w:abstractNumId w:val="12"/>
  </w:num>
  <w:num w:numId="47">
    <w:abstractNumId w:val="8"/>
  </w:num>
  <w:num w:numId="48">
    <w:abstractNumId w:val="17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A6048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0647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079D9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275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D0746"/>
    <w:rsid w:val="00DD0864"/>
    <w:rsid w:val="00DD097D"/>
    <w:rsid w:val="00DD227F"/>
    <w:rsid w:val="00DD3F1F"/>
    <w:rsid w:val="00DD71ED"/>
    <w:rsid w:val="00DD7F81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47FCD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56B4"/>
    <w:rsid w:val="00FA659D"/>
    <w:rsid w:val="00FB15E1"/>
    <w:rsid w:val="00FB33E4"/>
    <w:rsid w:val="00FB35CA"/>
    <w:rsid w:val="00FB702A"/>
    <w:rsid w:val="00FC0401"/>
    <w:rsid w:val="00FC0790"/>
    <w:rsid w:val="00FC0FAE"/>
    <w:rsid w:val="00FC1758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8pl3r">
    <w:name w:val="_8pl3r"/>
    <w:basedOn w:val="a0"/>
    <w:rsid w:val="000A6048"/>
  </w:style>
  <w:style w:type="character" w:customStyle="1" w:styleId="post-title">
    <w:name w:val="post-title"/>
    <w:basedOn w:val="a0"/>
    <w:rsid w:val="000A6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www.consultant.ru%2Fdocument%2Fcons_doc_LAW_37816%2F2b2c4472c2ae9d05ef211d956c6810af49989f79%2F&amp;cc_key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www.consultant.ru%2Fdocument%2Fcons_doc_LAW_34661%2Fd4131daeffceff28e2dda2eba7105f88abc9e7e9%2F&amp;cc_key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vk.com/away.php?to=http%3A%2F%2Fwww.consultant.ru%2Fdocument%2Fcons_doc_LAW_33773%2F368cb949273de5fecbcf2586fbf84ef05bd1a781%2F&amp;cc_ke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away.php?to=http%3A%2F%2Fwww.consultant.ru%2Fdocument%2Fcons_doc_LAW_5142%2Ff4bf6ab2a5e056db1deed5ea565335279b6c3be1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A77F-0751-43F9-BDAC-C896D918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Елена Константиновна</dc:creator>
  <cp:lastModifiedBy>RePack by Diakov</cp:lastModifiedBy>
  <cp:revision>3</cp:revision>
  <cp:lastPrinted>2020-06-03T04:57:00Z</cp:lastPrinted>
  <dcterms:created xsi:type="dcterms:W3CDTF">2020-10-07T17:13:00Z</dcterms:created>
  <dcterms:modified xsi:type="dcterms:W3CDTF">2020-10-07T17:14:00Z</dcterms:modified>
</cp:coreProperties>
</file>